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C03B" w14:textId="77777777" w:rsidR="00202535" w:rsidRDefault="0084119E" w:rsidP="008411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84119E">
        <w:rPr>
          <w:noProof/>
        </w:rPr>
        <w:drawing>
          <wp:inline distT="0" distB="0" distL="0" distR="0" wp14:anchorId="2A929195" wp14:editId="53E7C4B7">
            <wp:extent cx="3971925" cy="1309370"/>
            <wp:effectExtent l="0" t="0" r="9525" b="5080"/>
            <wp:docPr id="1" name="Bilde 1" descr="C:\Users\torbak\AppData\Local\Microsoft\Windows\INetCache\Content.MSO\E1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bak\AppData\Local\Microsoft\Windows\INetCache\Content.MSO\E14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4957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b/>
          <w:bCs/>
          <w:color w:val="A6A6A6"/>
          <w:sz w:val="60"/>
          <w:szCs w:val="60"/>
          <w:lang w:eastAsia="nb-NO"/>
        </w:rPr>
        <w:t>Protokoll</w:t>
      </w:r>
      <w:r w:rsidRPr="0084119E">
        <w:rPr>
          <w:rFonts w:ascii="Arial" w:eastAsia="Times New Roman" w:hAnsi="Arial" w:cs="Arial"/>
          <w:color w:val="A6A6A6"/>
          <w:sz w:val="60"/>
          <w:szCs w:val="60"/>
          <w:lang w:eastAsia="nb-NO"/>
        </w:rPr>
        <w:t> </w:t>
      </w:r>
    </w:p>
    <w:p w14:paraId="3B644108" w14:textId="694F2C2D" w:rsidR="0084119E" w:rsidRPr="0084119E" w:rsidRDefault="009D424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A6A6A6"/>
          <w:sz w:val="24"/>
          <w:szCs w:val="24"/>
          <w:lang w:eastAsia="nb-NO"/>
        </w:rPr>
        <w:t>12</w:t>
      </w:r>
      <w:r w:rsidR="0084119E"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.0</w:t>
      </w:r>
      <w:r>
        <w:rPr>
          <w:rFonts w:ascii="Arial" w:eastAsia="Times New Roman" w:hAnsi="Arial" w:cs="Arial"/>
          <w:color w:val="A6A6A6"/>
          <w:sz w:val="24"/>
          <w:szCs w:val="24"/>
          <w:lang w:eastAsia="nb-NO"/>
        </w:rPr>
        <w:t>6</w:t>
      </w:r>
      <w:r w:rsidR="0084119E"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.2021 </w:t>
      </w:r>
    </w:p>
    <w:p w14:paraId="101FB31D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color w:val="BFBFBF"/>
          <w:sz w:val="24"/>
          <w:szCs w:val="24"/>
          <w:lang w:eastAsia="nb-NO"/>
        </w:rPr>
        <w:t> </w:t>
      </w:r>
    </w:p>
    <w:p w14:paraId="2B2725E5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Det ble avholdt styremøte i Norges Squashforbund  </w:t>
      </w:r>
    </w:p>
    <w:p w14:paraId="17E58B2D" w14:textId="7C12EBA3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Dato: 0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6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.0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12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.2021 </w:t>
      </w:r>
    </w:p>
    <w:p w14:paraId="5C18EDAD" w14:textId="0947E50B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Sted: 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Aker Brygge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</w:p>
    <w:p w14:paraId="4362E5C2" w14:textId="3BA670FD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Klokken: 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11</w:t>
      </w:r>
      <w:r w:rsidR="00202535" w:rsidRPr="00202535">
        <w:rPr>
          <w:rFonts w:ascii="Calibri" w:eastAsia="Times New Roman" w:hAnsi="Calibri" w:cs="Calibri"/>
          <w:sz w:val="21"/>
          <w:szCs w:val="21"/>
          <w:lang w:eastAsia="nb-NO"/>
        </w:rPr>
        <w:t>:00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-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17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: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3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0 </w:t>
      </w:r>
    </w:p>
    <w:p w14:paraId="76329F34" w14:textId="054A9941" w:rsidR="0084119E" w:rsidRPr="0084119E" w:rsidRDefault="0084119E" w:rsidP="009D424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br/>
        <w:t xml:space="preserve">Deltakere: Terje Finholdt 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(P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resident), 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>Otto Kalvø (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visep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resident), 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Vibeke Wiig (Styremedlem), Andrea Fjellgaard (Styremedlem), </w:t>
      </w:r>
      <w:r w:rsidR="009D424E" w:rsidRPr="00202535">
        <w:rPr>
          <w:rFonts w:ascii="Calibri" w:eastAsia="Times New Roman" w:hAnsi="Calibri" w:cs="Calibri"/>
          <w:sz w:val="21"/>
          <w:szCs w:val="21"/>
          <w:lang w:eastAsia="nb-NO"/>
        </w:rPr>
        <w:t xml:space="preserve">Frode 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>Hognestad (Styremedlem)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 xml:space="preserve">, 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Ove Marius Helø (vara), Tord Bakke Arvesen (generalsekretær)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, Charlotte Rendalsvik og Filip Madaric fra administrasjon deltok også.</w:t>
      </w:r>
    </w:p>
    <w:p w14:paraId="0F127A77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Forfall: og Karoline Hegbom (vara). </w:t>
      </w:r>
    </w:p>
    <w:p w14:paraId="52F0E259" w14:textId="2D3F5DF4" w:rsidR="00272404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Styret var beslutningsdyktig.  </w:t>
      </w:r>
    </w:p>
    <w:p w14:paraId="7E28563B" w14:textId="0ABF0983" w:rsidR="0084119E" w:rsidRPr="0084119E" w:rsidRDefault="0084119E" w:rsidP="00272404">
      <w:pPr>
        <w:rPr>
          <w:rFonts w:ascii="Calibri" w:eastAsia="Times New Roman" w:hAnsi="Calibri" w:cs="Calibri"/>
          <w:sz w:val="21"/>
          <w:szCs w:val="21"/>
          <w:lang w:eastAsia="nb-NO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1F32A7" w:rsidRPr="0084119E" w14:paraId="32C98367" w14:textId="77777777" w:rsidTr="001E6239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B2525" w14:textId="77777777" w:rsidR="009D424E" w:rsidRPr="0084119E" w:rsidRDefault="009D424E" w:rsidP="001E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Saksnummer og navn </w:t>
            </w:r>
          </w:p>
        </w:tc>
        <w:tc>
          <w:tcPr>
            <w:tcW w:w="4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52" w14:textId="77777777" w:rsidR="009D424E" w:rsidRPr="0084119E" w:rsidRDefault="009D424E" w:rsidP="001E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Vedtakstekst </w:t>
            </w:r>
          </w:p>
        </w:tc>
      </w:tr>
      <w:tr w:rsidR="001F32A7" w:rsidRPr="0084119E" w14:paraId="5534E9F6" w14:textId="77777777" w:rsidTr="001E6239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2CC40" w14:textId="77777777" w:rsidR="009D424E" w:rsidRPr="0084119E" w:rsidRDefault="009D424E" w:rsidP="001E6239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Møteinnkalling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2982F" w14:textId="77777777" w:rsidR="009D424E" w:rsidRPr="0084119E" w:rsidRDefault="009D424E" w:rsidP="001E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 vedtok møteinnkallelsen </w:t>
            </w:r>
          </w:p>
        </w:tc>
      </w:tr>
      <w:tr w:rsidR="001F32A7" w:rsidRPr="0084119E" w14:paraId="08F6924B" w14:textId="77777777" w:rsidTr="001E6239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0669E" w14:textId="77777777" w:rsidR="009D424E" w:rsidRPr="0084119E" w:rsidRDefault="009D424E" w:rsidP="001E623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Agenda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DBCF3" w14:textId="77777777" w:rsidR="009D424E" w:rsidRPr="0084119E" w:rsidRDefault="009D424E" w:rsidP="001E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vedtok agendaen </w:t>
            </w:r>
          </w:p>
        </w:tc>
      </w:tr>
      <w:tr w:rsidR="001F32A7" w:rsidRPr="0084119E" w14:paraId="23FA585C" w14:textId="77777777" w:rsidTr="001E6239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6FCD1" w14:textId="77777777" w:rsidR="009D424E" w:rsidRPr="0084119E" w:rsidRDefault="009D424E" w:rsidP="001E6239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Referat/protokoll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2DD943" w14:textId="4C7A70C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Protokoll fra forrige styremøte er utsatt vedtatt på grunn av gjennomgang av sak på nytt for revu</w:t>
            </w:r>
            <w:r w:rsidR="005C3F2B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dering og prosessevaluering. </w:t>
            </w:r>
          </w:p>
          <w:p w14:paraId="33F49238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President foreslår at protokollen vedtas sammen med protokoll fra dette styremøtet. </w:t>
            </w:r>
          </w:p>
          <w:p w14:paraId="489A2EA2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p w14:paraId="5DFBE7D9" w14:textId="77777777" w:rsidR="009D424E" w:rsidRPr="0084119E" w:rsidRDefault="009D424E" w:rsidP="001E623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9D42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vedtok forslaget</w:t>
            </w:r>
          </w:p>
        </w:tc>
      </w:tr>
      <w:tr w:rsidR="001F32A7" w:rsidRPr="0084119E" w14:paraId="275FB2E7" w14:textId="77777777" w:rsidTr="001E6239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61C83CF" w14:textId="77777777" w:rsidR="009D424E" w:rsidRPr="0084119E" w:rsidRDefault="009D424E" w:rsidP="001E6239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Ny hjemmeside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EF9737E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Charlotte Rendalsvik presenterte den nye hjemmesiden til forbundet. Status på arbeidet og hvilke elementer som gjenstår ble drøftet. Enkelte leveranser på nettsiden vil komme senere en antatt fordi ressurser i NIF må gjøre arbeidet, men siden er klar til publisering. Visepresident foreslo publisering onsdag 16.06.21 kl:12:00. I tillegg skal Charlotte settes i kontakt med ressurs fra Nordic Screens for konseptutvikling av 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SquashTV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.</w:t>
            </w:r>
          </w:p>
          <w:p w14:paraId="62D073B3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71F38C71" w14:textId="40494ED3" w:rsidR="009D424E" w:rsidRPr="0084119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tok saken til orienterin</w:t>
            </w:r>
            <w:r w:rsidR="001F32A7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og ba GS påse at planen ble fulgt opp.</w:t>
            </w:r>
          </w:p>
        </w:tc>
      </w:tr>
      <w:tr w:rsidR="001F32A7" w:rsidRPr="0084119E" w14:paraId="3114FDC1" w14:textId="77777777" w:rsidTr="001E6239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D5F1878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43A712F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1F32A7" w:rsidRPr="0084119E" w14:paraId="0D8C4536" w14:textId="77777777" w:rsidTr="001E6239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79B40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9A52" w14:textId="77777777" w:rsidR="009D424E" w:rsidRDefault="009D424E" w:rsidP="001E623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0C2E5F0E" w14:textId="77777777" w:rsidTr="0084119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116D5" w14:textId="49A63643" w:rsidR="0084119E" w:rsidRPr="001F32A7" w:rsidRDefault="001F32A7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Kompetansehelgen</w:t>
            </w:r>
          </w:p>
        </w:tc>
        <w:tc>
          <w:tcPr>
            <w:tcW w:w="4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EB037" w14:textId="77777777" w:rsidR="002A0072" w:rsidRDefault="00CF1980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Charlotte Rendalsvik presenterte status for kompetansehelgen og planen videre. Det faglige innholdet i kompetansehelgen vil være tredelt, mellom sport og anlegg, rekruttering og barneidrett og organisasjonsarbeid/klubbutvikling. </w:t>
            </w:r>
            <w:r w:rsidR="002A007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Både interne </w:t>
            </w:r>
            <w:r w:rsidR="002A007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 xml:space="preserve">og eksterne vil være foredragsholdere. Det blir også på foredrag om motivasjon/eierskap og om frivillighet. Invitasjon vil sendes ut 15.06.2021 til alle klubber og Charlotte vil følge opp påmeldingen med telefonsamtaler med klubbene. </w:t>
            </w:r>
          </w:p>
          <w:p w14:paraId="2D9A899F" w14:textId="77777777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4F54F75A" w14:textId="69F3CBF1" w:rsidR="0084119E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tok saken til orientering</w:t>
            </w:r>
            <w:r w:rsidR="00CF1980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og ba GS påse at planen ble fulgt opp.</w:t>
            </w:r>
          </w:p>
          <w:p w14:paraId="2F55DDE5" w14:textId="080F55A3" w:rsidR="005C3F2B" w:rsidRPr="009D424E" w:rsidRDefault="005C3F2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44DC06FB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14CC9" w14:textId="78488253" w:rsidR="0084119E" w:rsidRPr="001F32A7" w:rsidRDefault="001F32A7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Status NM og omgjøring toppidrettsvedtak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DBBDB" w14:textId="77777777" w:rsidR="0084119E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Vibeke Wiig ga styret en statusrapport på NM-arrangementet. Det vil avholdes på Lysaker, i regi av Oslo Squashklubb. Det vil avholdes en kvalifikasjonsrunde for å delta for deltakere utenfor topp 16 på torsdagen. Videre vil arrangementet gå som normalt. </w:t>
            </w:r>
          </w:p>
          <w:p w14:paraId="4DDEE685" w14:textId="77777777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DFA7FE0" w14:textId="1AE96D35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GS informerte om toppidre</w:t>
            </w:r>
            <w:r w:rsidR="005C3F2B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t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tsprotokollen og foreslo en endring i og med at den ble utarbeidet for mange måneder siden og med utgangspunkt i fjorårets turnering. For å sikre fair play og at de som 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hr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utviklet seg og kvalifiserer for årets turnering ikke blir ekskludert på grunn av feil formulering foreslås å legge inn at også eliteklassen i 2021 skal være gjeldene. </w:t>
            </w:r>
          </w:p>
          <w:p w14:paraId="5D2738E7" w14:textId="77777777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32BD145" w14:textId="77777777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9F034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nb-NO"/>
              </w:rPr>
              <w:t>Unntaket som gis i Toppidrettsprotokollen gjelder dermed for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: </w:t>
            </w:r>
            <w:r w:rsidRPr="009F034E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>De som var kvalifisert til og/eller spilte NM elite 2020 og/eller dem som kvalifiseres til å spille NM elite 2021.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</w:t>
            </w:r>
          </w:p>
          <w:p w14:paraId="7BD46367" w14:textId="77777777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27EC78F0" w14:textId="77777777" w:rsidR="002A0072" w:rsidRDefault="002A007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vedtok endringen i forskriften gjeldene fra og med påmeldingsfristens utløp.</w:t>
            </w:r>
          </w:p>
          <w:p w14:paraId="4EEBBDC5" w14:textId="09A206D3" w:rsidR="005C3F2B" w:rsidRPr="009D424E" w:rsidRDefault="005C3F2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2418B1C8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4B1E9" w14:textId="5380F428" w:rsidR="0084119E" w:rsidRPr="001F32A7" w:rsidRDefault="001F32A7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bookmarkStart w:id="0" w:name="_Hlk74742338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Gjennomgang ansettelsesprosess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595D02" w14:textId="77015F3E" w:rsidR="003F6F9A" w:rsidRDefault="00624F7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Etter vedtak og ansettelse av sport og landslagssjef i etterkant av forrige styremøte har GS og styret fått spørsmål tilknyttet prosessen og bakgrunn for beslutningene. Innspillene som er innkommet i etterkant av ansettelsen er både positive og negative. </w:t>
            </w:r>
            <w:r w:rsidR="003F6F9A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Enkelte styremedlemmer opplevde at behandlingen i forrige styremøte kunne vært grundigere og har behov for å gjennomgå grunnlaget igjen. </w:t>
            </w:r>
          </w:p>
          <w:p w14:paraId="341B0B6F" w14:textId="77777777" w:rsidR="003F6F9A" w:rsidRDefault="003F6F9A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43E181AD" w14:textId="1051FB1C" w:rsidR="0084119E" w:rsidRDefault="00624F7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og styrets ambisjon om at ansettelsen utelukkende ville mottas som et positivt tilskudd til den sportslige organiseringen feilet og det er </w:t>
            </w:r>
            <w:r w:rsidR="00953EDB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derfor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innkommet spørsmål. Derfor ønsket styret en ny gjennomgang og redegjørelse av saken for å sikre at spørsmålene er vurdert i prosessen, vurdere prosessen i seg selv og undersøke om noen grep kunne tas for å bidra til å nå ambisjonen. </w:t>
            </w:r>
          </w:p>
          <w:p w14:paraId="403D1080" w14:textId="77777777" w:rsidR="00624F7F" w:rsidRDefault="00624F7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F4327C0" w14:textId="166ABB1B" w:rsidR="00624F7F" w:rsidRDefault="00624F7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redegjorde for prosessen fra april/mai 2020 og frem til i dag. Det ble fremlagt dokumentasjon på organisasjonsutviklingen som styret høsten 2020 tok stilling til. Videre ble det redegjort for prosess for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søk etter kandidater, utarbeidelsen av den sportslige organiseringen som er grunnlaget for ansettelsen</w:t>
            </w:r>
            <w:r w:rsidR="003F6F9A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. Det ble forklart at gjennom samtaler mellom GS og presidentskapet ble det enighet om å innstille på at rollen også måtte være rettet mot aktivitet, og særlig i landslagene som forklaring på hvorfor presiseringen om landslag kom inn i stillingen. Det ble forklart hvordan stillingen er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tenkt prioritert (sentralt 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vs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operativt). </w:t>
            </w:r>
            <w:r w:rsidR="00953EDB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fortalte om involveringsprosessen gjennom hele perioden og avklarte hvem og hvorfor ulike personer har vært involvert i ulike deler av prosessen. 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Alle spørsmål som er innkommet, er utdypende besvart av GS og fremlagt for styret.</w:t>
            </w:r>
          </w:p>
          <w:p w14:paraId="2154FE07" w14:textId="77777777" w:rsidR="00953EDB" w:rsidRDefault="00953ED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60F800EA" w14:textId="56ED1D7E" w:rsidR="00953EDB" w:rsidRDefault="00953ED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fortalte til sist at han vurderer at grunnlaget for spørsmålene styret har blitt stilt handler om utydelig kommunikasjon fra GS i </w:t>
            </w:r>
            <w:proofErr w:type="spellStart"/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è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n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vesentlig samtale. Denne utydeligheten har bidratt til den utilsiktede utviklingen i saken. </w:t>
            </w:r>
          </w:p>
          <w:p w14:paraId="55C998D1" w14:textId="1344C7A8" w:rsidR="00953EDB" w:rsidRDefault="00953ED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0AC2C41" w14:textId="1F251DFE" w:rsidR="00953EDB" w:rsidRPr="00953EDB" w:rsidRDefault="00953ED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nb-NO"/>
              </w:rPr>
            </w:pPr>
            <w:r w:rsidRPr="00953ED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nb-NO"/>
              </w:rPr>
              <w:t>Styrets vurdering er unntatt offentlighet da det ansees som i grenseland mellom personalsak og tvist om oppdrag</w:t>
            </w:r>
            <w:r w:rsidR="009F034E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nb-NO"/>
              </w:rPr>
              <w:t xml:space="preserve"> – i parentes</w:t>
            </w:r>
            <w:r w:rsidRPr="00953EDB">
              <w:rPr>
                <w:rFonts w:ascii="Calibri" w:eastAsia="Times New Roman" w:hAnsi="Calibri" w:cs="Calibri"/>
                <w:b/>
                <w:bCs/>
                <w:sz w:val="21"/>
                <w:szCs w:val="21"/>
                <w:lang w:eastAsia="nb-NO"/>
              </w:rPr>
              <w:t>:</w:t>
            </w:r>
          </w:p>
          <w:p w14:paraId="7F56E4BC" w14:textId="052FDB5F" w:rsidR="00953EDB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>(</w:t>
            </w:r>
            <w:r w:rsidR="00953EDB" w:rsidRPr="00953EDB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>Styret vurderte prosessen og sakens stilling. De kom frem til at President</w:t>
            </w:r>
            <w:r w:rsidR="00953EDB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>en</w:t>
            </w:r>
            <w:r w:rsidR="00953EDB" w:rsidRPr="00953EDB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 xml:space="preserve"> kontakter den involverte part med et forslag om å tilby</w:t>
            </w:r>
            <w:r w:rsidR="00953EDB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 xml:space="preserve"> vedkommende</w:t>
            </w:r>
            <w:r w:rsidR="00953EDB" w:rsidRPr="00953EDB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 xml:space="preserve"> stilling som landslagstrener i forbundets trenerteam underlagt sportsjefen.</w:t>
            </w:r>
            <w:r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>)</w:t>
            </w:r>
            <w:r w:rsidR="00953EDB" w:rsidRPr="00953EDB"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  <w:t xml:space="preserve">  </w:t>
            </w:r>
          </w:p>
          <w:p w14:paraId="55072AC7" w14:textId="77777777" w:rsidR="00953EDB" w:rsidRDefault="00953ED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i/>
                <w:iCs/>
                <w:sz w:val="21"/>
                <w:szCs w:val="21"/>
                <w:lang w:eastAsia="nb-NO"/>
              </w:rPr>
            </w:pPr>
          </w:p>
          <w:p w14:paraId="772A129B" w14:textId="4B58275D" w:rsidR="00953EDB" w:rsidRPr="00953EDB" w:rsidRDefault="00953ED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</w:t>
            </w:r>
            <w:r w:rsidR="003115CF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(offentlig)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: Styret 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mener saken er grundig belyst og at vedtaket for ansettelsen er gjort på godt grunnlag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. Presiseringene i denne gjennomgangen har styrket den oppfattelsen,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men 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GS utydelige kommunikasjonen i nevnte samtale har skapt en tvist som skal søkes løst gjennom foreslåtte prosess.</w:t>
            </w:r>
          </w:p>
        </w:tc>
      </w:tr>
      <w:bookmarkEnd w:id="0"/>
      <w:tr w:rsidR="0084119E" w:rsidRPr="0084119E" w14:paraId="1F6A76EA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907AB" w14:textId="763F9074" w:rsidR="0084119E" w:rsidRPr="001F32A7" w:rsidRDefault="001F32A7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Årsberetning og årsregn</w:t>
            </w:r>
            <w:r w:rsidR="006C460A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skap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4F2710" w14:textId="1989E540" w:rsidR="009D424E" w:rsidRDefault="003115C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presenterte årsberetningen og årsregnskapet. Det er gjort nedskriving av utestående fordringer fire år tilbake i tid som har påvirket resultatet negativt ut fra tidligere prognoser. Årsberetningen er skrevet etter mal fra tidligere og oppsummerer forbundets aktivitet i 2020. </w:t>
            </w:r>
          </w:p>
          <w:p w14:paraId="5A2C8B29" w14:textId="79E38599" w:rsidR="003115CF" w:rsidRDefault="003115C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28893964" w14:textId="41353FB7" w:rsidR="003115CF" w:rsidRDefault="003115CF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Vedtak: styret vedtok årsberetning og årsregnskap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og ba </w:t>
            </w:r>
            <w:proofErr w:type="spellStart"/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gs</w:t>
            </w:r>
            <w:proofErr w:type="spellEnd"/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sende til revisor for gjennomgang og signering, og publisere på nettsider når klar. </w:t>
            </w:r>
          </w:p>
          <w:p w14:paraId="4AFB0861" w14:textId="77777777" w:rsidR="006C460A" w:rsidRDefault="006C460A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33B770AD" w14:textId="1B7D53EC" w:rsidR="006C460A" w:rsidRPr="009D424E" w:rsidRDefault="006C460A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1855DFE6" w14:textId="77777777" w:rsidTr="009D424E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260AF38" w14:textId="7FC6AEFB" w:rsidR="006C460A" w:rsidRPr="006C460A" w:rsidRDefault="006C460A" w:rsidP="006C460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Aktivitetskalender og turneringsbestemmelser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6E7DEA9" w14:textId="0BC398B3" w:rsidR="009D424E" w:rsidRPr="0084119E" w:rsidRDefault="003F6F9A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Turneringskomiteens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forslag til aktivitetskalender og turneringsbestemmelser ble presentert og gjennomgått punkt for punkt. Styret opplever arbeidet som grundig og er glade for den store aktiviteten i kommende sesong. Innspillene til turneringsbestemmelsene ble gjennomgått og diskutert. De fleste innspillene er svært gode og tas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 xml:space="preserve">inn i bestemmelsene, mens noen skal det arbeides videre med. </w:t>
            </w:r>
          </w:p>
        </w:tc>
      </w:tr>
      <w:tr w:rsidR="009D424E" w:rsidRPr="0084119E" w14:paraId="32B54DE9" w14:textId="77777777" w:rsidTr="009D424E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90B90FF" w14:textId="77777777" w:rsidR="009D424E" w:rsidRDefault="009D424E" w:rsidP="009D42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BC654EF" w14:textId="77777777" w:rsidR="009D424E" w:rsidRDefault="009D42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9D424E" w:rsidRPr="0084119E" w14:paraId="0A08D028" w14:textId="77777777" w:rsidTr="006C460A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D9899A0" w14:textId="77777777" w:rsidR="009D424E" w:rsidRDefault="009D424E" w:rsidP="009D42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524A5E19" w14:textId="44D32DB1" w:rsidR="009D424E" w:rsidRDefault="003F6F9A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Vedtak: Styret vedtok aktivitetskalenderen</w:t>
            </w:r>
            <w:r w:rsidR="00926D1C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og </w:t>
            </w:r>
            <w:proofErr w:type="spellStart"/>
            <w:r w:rsidR="00926D1C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turneringskomiteens</w:t>
            </w:r>
            <w:proofErr w:type="spellEnd"/>
            <w:r w:rsidR="00926D1C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forslag til endringer i turneringsbestemmelsene. Videre ba styret generalsekretæren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koordinere med </w:t>
            </w:r>
            <w:r w:rsidR="00926D1C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Turneringskomiteen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</w:t>
            </w:r>
            <w:r w:rsidR="00926D1C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for å sikre videre fremdrift på punkter i turneringsbestemmelsene.</w:t>
            </w:r>
          </w:p>
        </w:tc>
      </w:tr>
      <w:tr w:rsidR="00272404" w:rsidRPr="0084119E" w14:paraId="65E38686" w14:textId="77777777" w:rsidTr="00926D1C"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308A7C" w14:textId="77777777" w:rsidR="00272404" w:rsidRDefault="00272404" w:rsidP="009D42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3D90A9" w14:textId="77777777" w:rsidR="00272404" w:rsidRDefault="00272404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926D1C" w:rsidRPr="0084119E" w14:paraId="75792B14" w14:textId="77777777" w:rsidTr="00926D1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AE7D" w14:textId="05EDF42D" w:rsidR="00926D1C" w:rsidRPr="00926D1C" w:rsidRDefault="00926D1C" w:rsidP="00926D1C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Regnskap Q2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941D" w14:textId="53D5FD9F" w:rsidR="00926D1C" w:rsidRDefault="00926D1C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redegjorde for </w:t>
            </w:r>
            <w:r w:rsidR="00AB0BD9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regnskapet. I hovedsak styres forbundet etter budsjett, men noe reduserte kostnader på grunn av et halvt år med liten aktivitet og samtidig en reduksjon i inntekter på grunn av lavere inntekter til samling og kurs er sannsynlig. Prognosen viser at vi havner over budsjett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erte kostnader</w:t>
            </w:r>
            <w:r w:rsidR="00AB0BD9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på klubbutvikling grunnet kompetansehelg, digitaliseringskostnader og økt </w:t>
            </w:r>
            <w:proofErr w:type="gramStart"/>
            <w:r w:rsidR="00AB0BD9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fokus</w:t>
            </w:r>
            <w:proofErr w:type="gramEnd"/>
            <w:r w:rsidR="00AB0BD9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på dette i forbindelse med full gjenåpning. </w:t>
            </w:r>
          </w:p>
          <w:p w14:paraId="3621AC9A" w14:textId="77777777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BEEDBF5" w14:textId="57C82598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Vedtak: Styret tok saken til orientering.</w:t>
            </w:r>
          </w:p>
        </w:tc>
      </w:tr>
      <w:tr w:rsidR="006C460A" w:rsidRPr="0084119E" w14:paraId="25711224" w14:textId="77777777" w:rsidTr="00AB0BD9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AF7E23" w14:textId="26F784D6" w:rsidR="006C460A" w:rsidRPr="00AB0BD9" w:rsidRDefault="00AB0BD9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Idrettens hus Rogaland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C7247A" w14:textId="23A38CD3" w:rsidR="006C460A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og President fortalte om gjennomføring og deltakelse på generalforsamling i idrettens hus Rogaland hvor NSQF har i underkant av 5% aksjeandel. Selskapet drives på god måte. Det ble diskutert om eierskapet bør flyttes fra forbundet til vårt heleide «anleggs-AS» fordi det synes naturlig å plassere våre eiendomsverdier i dette selskapet. </w:t>
            </w:r>
          </w:p>
          <w:p w14:paraId="4E86D39D" w14:textId="633AEF9E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br/>
              <w:t>Vedtak: Styret tok saken til orientering og ba GS utrede ytterligere muligheten for å flytte eierskapet.</w:t>
            </w:r>
          </w:p>
        </w:tc>
      </w:tr>
      <w:tr w:rsidR="00AB0BD9" w:rsidRPr="0084119E" w14:paraId="14CF1CF3" w14:textId="77777777" w:rsidTr="00AB0BD9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C894E" w14:textId="44AE8121" w:rsidR="00AB0BD9" w:rsidRDefault="00AB0BD9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Drammen Squashklubb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A500405" w14:textId="77777777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President fortalte om forbundets involvering i forbindelse med nedleggelsen av squashsenteret i Drammen og hvilke muligheter forbundet har for å benytte dette til å hjelpe klubber med anleggsplaner og ta del i verdikjeden i squash.</w:t>
            </w:r>
          </w:p>
          <w:p w14:paraId="73F40474" w14:textId="77777777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723C77DC" w14:textId="0FD138FA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Vedtak: Styret tok saken til </w:t>
            </w:r>
            <w:r w:rsidR="001E6239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orienter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ing. </w:t>
            </w:r>
          </w:p>
        </w:tc>
      </w:tr>
      <w:tr w:rsidR="00AB0BD9" w:rsidRPr="0084119E" w14:paraId="57FB3362" w14:textId="77777777" w:rsidTr="009F034E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B11790" w14:textId="51B377C8" w:rsidR="00AB0BD9" w:rsidRDefault="00AB0BD9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Oslo Squashklubb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6A3779" w14:textId="1F279CC0" w:rsidR="00AB0BD9" w:rsidRDefault="00AB0BD9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Vibeke og GS fortalte om henvendelse fra OIK til Oslo Squashklubb med likelydende hensikt som Sagene SK og Sentrum SK har hatt i lengre tid. GS forklarte at problemstillingen ikke er gammel, og det er ingen ny utvikling i saken. Det skal avholdes et møte mellom NIF, OIK og NSQF kommende uke for å drøfte medlems- og aktivitetstall. GS vil gå 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direkte til verks og kreve fremdrift på digitale løsninger (integrasjon eller annen løsning) for å sikre at medlemstall, 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medlemskap</w:t>
            </w:r>
            <w:r w:rsidR="009F034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og betalinger registreres tilfredsstillende. Dette har NIF lovet NSQF siden 2018 da saken ble diskutert med dem første gang. </w:t>
            </w:r>
          </w:p>
          <w:p w14:paraId="10749668" w14:textId="77777777" w:rsidR="009F034E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1E1A170" w14:textId="79B490E5" w:rsidR="009F034E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Vedtak: Styret tok saken til ette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rr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etning og ga GS støtte i å behandle saken på foreslått måte i møtet og fremover</w:t>
            </w:r>
          </w:p>
        </w:tc>
      </w:tr>
      <w:tr w:rsidR="009F034E" w:rsidRPr="0084119E" w14:paraId="709E53CE" w14:textId="77777777" w:rsidTr="009F034E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C3B042" w14:textId="58553565" w:rsidR="009F034E" w:rsidRDefault="009F034E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Stimuleringspakke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64DC57F" w14:textId="223146F8" w:rsidR="009F034E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Saken ble strøket.</w:t>
            </w:r>
          </w:p>
        </w:tc>
      </w:tr>
      <w:tr w:rsidR="009F034E" w:rsidRPr="0084119E" w14:paraId="6517F538" w14:textId="77777777" w:rsidTr="009F034E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17D18A3" w14:textId="48607341" w:rsidR="009F034E" w:rsidRDefault="009F034E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Strategi (idretten post-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corona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)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726C31D" w14:textId="05263D98" w:rsidR="009F034E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Saken ble strøket</w:t>
            </w:r>
          </w:p>
        </w:tc>
      </w:tr>
      <w:tr w:rsidR="009F034E" w:rsidRPr="0084119E" w14:paraId="0F97443E" w14:textId="77777777" w:rsidTr="00926D1C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7593B8" w14:textId="3DD6CCB8" w:rsidR="009F034E" w:rsidRDefault="009F034E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Eventuelt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9E8D7" w14:textId="6E7B9A5B" w:rsidR="009F034E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Andrea tok opp at hun opplever at squash forskjellsbehandles av OLT både med tanke på ressurser og tilgang til OLT sine fasiliteter under koronapandemien</w:t>
            </w:r>
            <w:r w:rsidR="00D71EF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og ellers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. Dette skaper et vanskeligere utgangspunkt for NSQF å tilby høy kvalitet på vårt toppidrettsarbeid sammenlignet med olympiske idretter både med tanke på menneskelige og økonomiske ressurser.</w:t>
            </w:r>
          </w:p>
          <w:p w14:paraId="2CB0A42E" w14:textId="33381D0B" w:rsidR="009F034E" w:rsidRDefault="009F03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br/>
              <w:t xml:space="preserve">Styret tok saken til etterretning og foreslo at Andrea og GS inviterte OLT til et møte for å drøfte saken. </w:t>
            </w:r>
          </w:p>
        </w:tc>
      </w:tr>
    </w:tbl>
    <w:p w14:paraId="317B409D" w14:textId="77777777" w:rsidR="0041312C" w:rsidRDefault="0041312C"/>
    <w:sectPr w:rsidR="004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5D"/>
    <w:multiLevelType w:val="multilevel"/>
    <w:tmpl w:val="FF26D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B6EF2"/>
    <w:multiLevelType w:val="multilevel"/>
    <w:tmpl w:val="19986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333C0"/>
    <w:multiLevelType w:val="multilevel"/>
    <w:tmpl w:val="14882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D0714"/>
    <w:multiLevelType w:val="multilevel"/>
    <w:tmpl w:val="88105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6539F"/>
    <w:multiLevelType w:val="multilevel"/>
    <w:tmpl w:val="8E189B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7A4"/>
    <w:multiLevelType w:val="multilevel"/>
    <w:tmpl w:val="810AE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27285"/>
    <w:multiLevelType w:val="multilevel"/>
    <w:tmpl w:val="4EBE4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912AD"/>
    <w:multiLevelType w:val="multilevel"/>
    <w:tmpl w:val="3CFACD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73207DE"/>
    <w:multiLevelType w:val="multilevel"/>
    <w:tmpl w:val="263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1138F"/>
    <w:multiLevelType w:val="multilevel"/>
    <w:tmpl w:val="1E8E97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7941FD"/>
    <w:multiLevelType w:val="multilevel"/>
    <w:tmpl w:val="908E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FC5AEF"/>
    <w:multiLevelType w:val="multilevel"/>
    <w:tmpl w:val="AAAE5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640DE4"/>
    <w:multiLevelType w:val="multilevel"/>
    <w:tmpl w:val="2FEA6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AB777C"/>
    <w:multiLevelType w:val="multilevel"/>
    <w:tmpl w:val="46D49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3C7FB4"/>
    <w:multiLevelType w:val="multilevel"/>
    <w:tmpl w:val="CC9C0B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C03529"/>
    <w:multiLevelType w:val="multilevel"/>
    <w:tmpl w:val="25F6D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D67BE7"/>
    <w:multiLevelType w:val="multilevel"/>
    <w:tmpl w:val="3F18D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040461"/>
    <w:multiLevelType w:val="multilevel"/>
    <w:tmpl w:val="5970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1662E5"/>
    <w:multiLevelType w:val="multilevel"/>
    <w:tmpl w:val="496C4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DC6B19"/>
    <w:multiLevelType w:val="multilevel"/>
    <w:tmpl w:val="E32E19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7"/>
  </w:num>
  <w:num w:numId="6">
    <w:abstractNumId w:val="0"/>
  </w:num>
  <w:num w:numId="7">
    <w:abstractNumId w:val="18"/>
  </w:num>
  <w:num w:numId="8">
    <w:abstractNumId w:val="5"/>
  </w:num>
  <w:num w:numId="9">
    <w:abstractNumId w:val="6"/>
  </w:num>
  <w:num w:numId="10">
    <w:abstractNumId w:val="13"/>
  </w:num>
  <w:num w:numId="11">
    <w:abstractNumId w:val="15"/>
  </w:num>
  <w:num w:numId="12">
    <w:abstractNumId w:val="1"/>
  </w:num>
  <w:num w:numId="13">
    <w:abstractNumId w:val="16"/>
  </w:num>
  <w:num w:numId="14">
    <w:abstractNumId w:val="14"/>
  </w:num>
  <w:num w:numId="15">
    <w:abstractNumId w:val="7"/>
  </w:num>
  <w:num w:numId="16">
    <w:abstractNumId w:val="9"/>
  </w:num>
  <w:num w:numId="17">
    <w:abstractNumId w:val="19"/>
  </w:num>
  <w:num w:numId="18">
    <w:abstractNumId w:val="4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19E"/>
    <w:rsid w:val="001E6239"/>
    <w:rsid w:val="001F32A7"/>
    <w:rsid w:val="00202535"/>
    <w:rsid w:val="00272404"/>
    <w:rsid w:val="002A0072"/>
    <w:rsid w:val="003115CF"/>
    <w:rsid w:val="003E2A65"/>
    <w:rsid w:val="003F6F9A"/>
    <w:rsid w:val="0041312C"/>
    <w:rsid w:val="005C3F2B"/>
    <w:rsid w:val="00624F7F"/>
    <w:rsid w:val="006974B5"/>
    <w:rsid w:val="006C460A"/>
    <w:rsid w:val="0084119E"/>
    <w:rsid w:val="00872831"/>
    <w:rsid w:val="00926D1C"/>
    <w:rsid w:val="00953EDB"/>
    <w:rsid w:val="009D424E"/>
    <w:rsid w:val="009F034E"/>
    <w:rsid w:val="00AB0BD9"/>
    <w:rsid w:val="00CF1980"/>
    <w:rsid w:val="00D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5456"/>
  <w15:docId w15:val="{B3FE1349-D984-4454-BFBD-D3092E5C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4119E"/>
  </w:style>
  <w:style w:type="character" w:customStyle="1" w:styleId="eop">
    <w:name w:val="eop"/>
    <w:basedOn w:val="Standardskriftforavsnitt"/>
    <w:rsid w:val="0084119E"/>
  </w:style>
  <w:style w:type="character" w:customStyle="1" w:styleId="scxw103203783">
    <w:name w:val="scxw103203783"/>
    <w:basedOn w:val="Standardskriftforavsnitt"/>
    <w:rsid w:val="0084119E"/>
  </w:style>
  <w:style w:type="character" w:customStyle="1" w:styleId="spellingerror">
    <w:name w:val="spellingerror"/>
    <w:basedOn w:val="Standardskriftforavsnitt"/>
    <w:rsid w:val="0084119E"/>
  </w:style>
  <w:style w:type="paragraph" w:styleId="Listeavsnitt">
    <w:name w:val="List Paragraph"/>
    <w:basedOn w:val="Normal"/>
    <w:uiPriority w:val="34"/>
    <w:qFormat/>
    <w:rsid w:val="009D4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0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1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2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0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9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12D242EA14584CA715E80D6EF860F1" ma:contentTypeVersion="9" ma:contentTypeDescription="Opprett et nytt dokument." ma:contentTypeScope="" ma:versionID="932ec3c50f520ef5af2dbbf51408d225">
  <xsd:schema xmlns:xsd="http://www.w3.org/2001/XMLSchema" xmlns:xs="http://www.w3.org/2001/XMLSchema" xmlns:p="http://schemas.microsoft.com/office/2006/metadata/properties" xmlns:ns2="ac1931cd-5560-4c07-b361-40053d0e2cc2" targetNamespace="http://schemas.microsoft.com/office/2006/metadata/properties" ma:root="true" ma:fieldsID="faf3b70ddae88b31b74fe2de2a269dc1" ns2:_="">
    <xsd:import namespace="ac1931cd-5560-4c07-b361-40053d0e2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931cd-5560-4c07-b361-40053d0e2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6538B-A3CF-4272-9DA8-B35052282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0F9C8-14B6-4777-9876-171339C34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931cd-5560-4c07-b361-40053d0e2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1C7DDF-5224-4DC5-A799-E2C2EA876B9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1455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1</cp:revision>
  <dcterms:created xsi:type="dcterms:W3CDTF">2021-06-14T07:03:00Z</dcterms:created>
  <dcterms:modified xsi:type="dcterms:W3CDTF">2021-12-06T07:49:00Z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0x0101003D12D242EA14584CA715E80D6EF860F1</vt:lpwstr>
  </property>
</Properties>
</file>